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C93741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4;visibility:visible;mso-wrap-edited:f">
            <v:imagedata r:id="rId8" o:title=""/>
          </v:shape>
          <o:OLEObject Type="Embed" ProgID="Word.Picture.8" ShapeID="_x0000_s1026" DrawAspect="Content" ObjectID="_1534340547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1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C9374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C9374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3" stroked="f">
            <v:textbox style="mso-next-textbox:#_x0000_s1029">
              <w:txbxContent>
                <w:p w:rsidR="006534F4" w:rsidRPr="00A66516" w:rsidRDefault="006534F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02 septembrie 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A681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88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2A681E" w:rsidRDefault="006534F4" w:rsidP="002A681E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AC521E" w:rsidRDefault="00AC521E" w:rsidP="008C23A6">
      <w:pPr>
        <w:numPr>
          <w:ilvl w:val="0"/>
          <w:numId w:val="33"/>
        </w:numPr>
        <w:ind w:left="-567" w:firstLine="786"/>
        <w:jc w:val="both"/>
        <w:rPr>
          <w:i/>
          <w:sz w:val="28"/>
          <w:szCs w:val="28"/>
          <w:shd w:val="clear" w:color="auto" w:fill="F5FAFE"/>
        </w:rPr>
      </w:pPr>
      <w:r>
        <w:rPr>
          <w:i/>
          <w:sz w:val="28"/>
          <w:szCs w:val="28"/>
        </w:rPr>
        <w:t xml:space="preserve">Informaţia </w:t>
      </w:r>
      <w:r w:rsidRPr="00A96AE6">
        <w:rPr>
          <w:i/>
          <w:sz w:val="28"/>
          <w:szCs w:val="28"/>
        </w:rPr>
        <w:t xml:space="preserve">despre evidenţa prezenţei salariaţilor </w:t>
      </w:r>
      <w:proofErr w:type="spellStart"/>
      <w:r w:rsidRPr="00A96AE6">
        <w:rPr>
          <w:i/>
          <w:sz w:val="28"/>
          <w:szCs w:val="28"/>
        </w:rPr>
        <w:t>IPNA</w:t>
      </w:r>
      <w:proofErr w:type="spellEnd"/>
      <w:r w:rsidRPr="00A96AE6">
        <w:rPr>
          <w:i/>
          <w:sz w:val="28"/>
          <w:szCs w:val="28"/>
        </w:rPr>
        <w:t xml:space="preserve"> Compania </w:t>
      </w:r>
      <w:r>
        <w:rPr>
          <w:i/>
          <w:sz w:val="28"/>
          <w:szCs w:val="28"/>
        </w:rPr>
        <w:t>„</w:t>
      </w:r>
      <w:proofErr w:type="spellStart"/>
      <w:r w:rsidRPr="00A96AE6">
        <w:rPr>
          <w:i/>
          <w:sz w:val="28"/>
          <w:szCs w:val="28"/>
        </w:rPr>
        <w:t>Teleradio</w:t>
      </w:r>
      <w:r>
        <w:rPr>
          <w:i/>
          <w:sz w:val="28"/>
          <w:szCs w:val="28"/>
        </w:rPr>
        <w:t>-</w:t>
      </w:r>
      <w:r w:rsidRPr="00A96AE6">
        <w:rPr>
          <w:i/>
          <w:sz w:val="28"/>
          <w:szCs w:val="28"/>
        </w:rPr>
        <w:t>Moldova</w:t>
      </w:r>
      <w:proofErr w:type="spellEnd"/>
      <w:r>
        <w:rPr>
          <w:i/>
          <w:sz w:val="28"/>
          <w:szCs w:val="28"/>
        </w:rPr>
        <w:t>”</w:t>
      </w:r>
      <w:r w:rsidRPr="00A96AE6">
        <w:rPr>
          <w:i/>
          <w:sz w:val="28"/>
          <w:szCs w:val="28"/>
        </w:rPr>
        <w:t xml:space="preserve"> în perioada 27-31 august 2016</w:t>
      </w:r>
      <w:r w:rsidRPr="00A96AE6">
        <w:rPr>
          <w:i/>
          <w:sz w:val="28"/>
          <w:szCs w:val="28"/>
          <w:shd w:val="clear" w:color="auto" w:fill="F5FAFE"/>
        </w:rPr>
        <w:t>.</w:t>
      </w:r>
    </w:p>
    <w:p w:rsidR="008C23A6" w:rsidRPr="008C23A6" w:rsidRDefault="008C23A6" w:rsidP="008C23A6">
      <w:pPr>
        <w:keepNext/>
        <w:widowControl w:val="0"/>
        <w:numPr>
          <w:ilvl w:val="0"/>
          <w:numId w:val="33"/>
        </w:numPr>
        <w:ind w:left="-567" w:firstLine="786"/>
        <w:jc w:val="both"/>
        <w:rPr>
          <w:sz w:val="28"/>
          <w:szCs w:val="28"/>
        </w:rPr>
      </w:pPr>
      <w:r w:rsidRPr="00B43C7D">
        <w:rPr>
          <w:i/>
          <w:sz w:val="28"/>
          <w:szCs w:val="28"/>
        </w:rPr>
        <w:t>Informația privind condițiile de programare a timpilor de antenă co</w:t>
      </w:r>
      <w:r w:rsidRPr="00B43C7D">
        <w:rPr>
          <w:i/>
          <w:sz w:val="28"/>
          <w:szCs w:val="28"/>
        </w:rPr>
        <w:t>n</w:t>
      </w:r>
      <w:r>
        <w:rPr>
          <w:i/>
          <w:sz w:val="28"/>
          <w:szCs w:val="28"/>
        </w:rPr>
        <w:t xml:space="preserve">tra plată, </w:t>
      </w:r>
      <w:r w:rsidRPr="00B43C7D">
        <w:rPr>
          <w:i/>
          <w:sz w:val="28"/>
          <w:szCs w:val="28"/>
        </w:rPr>
        <w:t>prețul/minut al acestora, dar și alte servicii conexe oferite concurenților ele</w:t>
      </w:r>
      <w:r w:rsidRPr="00B43C7D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>torali în alegerile prezidenţiale din 30 octombrie 2016 pentru TV Moldova 1, TV Mold</w:t>
      </w:r>
      <w:r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>va 2, Radio Moldova şi Radio Moldova Tineret.</w:t>
      </w:r>
    </w:p>
    <w:p w:rsidR="002A681E" w:rsidRPr="002A681E" w:rsidRDefault="006534F4" w:rsidP="008C23A6">
      <w:pPr>
        <w:keepNext/>
        <w:widowControl w:val="0"/>
        <w:numPr>
          <w:ilvl w:val="0"/>
          <w:numId w:val="33"/>
        </w:numPr>
        <w:ind w:left="-567" w:firstLine="786"/>
        <w:jc w:val="both"/>
        <w:rPr>
          <w:sz w:val="28"/>
          <w:szCs w:val="28"/>
        </w:rPr>
      </w:pPr>
      <w:r w:rsidRPr="002A681E">
        <w:rPr>
          <w:i/>
          <w:sz w:val="28"/>
          <w:szCs w:val="28"/>
        </w:rPr>
        <w:t>Raportul comparat de activitate al Serviciului Marketing și vânzări (6 luni 2015 / 6 luni 2016)</w:t>
      </w:r>
      <w:r w:rsidR="002A681E">
        <w:rPr>
          <w:i/>
          <w:sz w:val="28"/>
          <w:szCs w:val="28"/>
        </w:rPr>
        <w:t>.</w:t>
      </w:r>
    </w:p>
    <w:p w:rsidR="002A681E" w:rsidRPr="002A681E" w:rsidRDefault="006534F4" w:rsidP="008C23A6">
      <w:pPr>
        <w:keepNext/>
        <w:widowControl w:val="0"/>
        <w:numPr>
          <w:ilvl w:val="0"/>
          <w:numId w:val="33"/>
        </w:numPr>
        <w:ind w:left="-567" w:firstLine="786"/>
        <w:jc w:val="both"/>
        <w:rPr>
          <w:sz w:val="28"/>
          <w:szCs w:val="28"/>
        </w:rPr>
      </w:pPr>
      <w:r w:rsidRPr="002A681E">
        <w:rPr>
          <w:i/>
          <w:sz w:val="28"/>
          <w:szCs w:val="28"/>
        </w:rPr>
        <w:t>Randamentul activității consilierilor președintei IPNA Compania „Teleradio-Moldova”</w:t>
      </w:r>
      <w:r w:rsidR="002A681E">
        <w:rPr>
          <w:i/>
          <w:sz w:val="28"/>
          <w:szCs w:val="28"/>
        </w:rPr>
        <w:t>.</w:t>
      </w:r>
    </w:p>
    <w:p w:rsidR="00331DA2" w:rsidRPr="00A96AE6" w:rsidRDefault="00331DA2" w:rsidP="008C23A6">
      <w:pPr>
        <w:numPr>
          <w:ilvl w:val="0"/>
          <w:numId w:val="33"/>
        </w:numPr>
        <w:ind w:left="-567" w:firstLine="786"/>
        <w:jc w:val="both"/>
        <w:rPr>
          <w:i/>
          <w:sz w:val="28"/>
          <w:szCs w:val="28"/>
          <w:shd w:val="clear" w:color="auto" w:fill="F5FAFE"/>
        </w:rPr>
      </w:pPr>
      <w:r>
        <w:rPr>
          <w:i/>
          <w:sz w:val="28"/>
          <w:szCs w:val="28"/>
          <w:shd w:val="clear" w:color="auto" w:fill="F5FAFE"/>
        </w:rPr>
        <w:t>Diverse.</w:t>
      </w:r>
    </w:p>
    <w:p w:rsidR="00A96AE6" w:rsidRDefault="00A96AE6" w:rsidP="00A96AE6">
      <w:pPr>
        <w:keepNext/>
        <w:widowControl w:val="0"/>
        <w:ind w:left="786"/>
        <w:jc w:val="both"/>
        <w:rPr>
          <w:sz w:val="28"/>
          <w:szCs w:val="28"/>
        </w:rPr>
      </w:pPr>
    </w:p>
    <w:p w:rsidR="006534F4" w:rsidRPr="002A681E" w:rsidRDefault="006534F4" w:rsidP="002A681E">
      <w:pPr>
        <w:keepNext/>
        <w:widowControl w:val="0"/>
        <w:ind w:firstLine="426"/>
        <w:jc w:val="both"/>
        <w:rPr>
          <w:sz w:val="28"/>
          <w:szCs w:val="28"/>
        </w:rPr>
      </w:pPr>
      <w:r w:rsidRPr="002A681E">
        <w:rPr>
          <w:b/>
          <w:sz w:val="28"/>
          <w:szCs w:val="28"/>
        </w:rPr>
        <w:t>2</w:t>
      </w:r>
      <w:r w:rsidRPr="002A681E">
        <w:rPr>
          <w:i/>
          <w:sz w:val="28"/>
          <w:szCs w:val="28"/>
        </w:rPr>
        <w:t xml:space="preserve">. </w:t>
      </w:r>
      <w:r w:rsidRPr="002A681E">
        <w:rPr>
          <w:sz w:val="28"/>
          <w:szCs w:val="28"/>
        </w:rPr>
        <w:t>Prezenta hotărâre intră în vigoare la data adoptării.</w:t>
      </w:r>
    </w:p>
    <w:p w:rsidR="006534F4" w:rsidRPr="001E2BA6" w:rsidRDefault="006534F4" w:rsidP="001E2BA6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2A0227">
        <w:tab/>
      </w:r>
      <w:r w:rsidRPr="002A0227">
        <w:rPr>
          <w:sz w:val="28"/>
          <w:szCs w:val="28"/>
        </w:rPr>
        <w:t>Prezenta hotărâre a fost</w:t>
      </w:r>
      <w:r w:rsidRPr="00DC6C1E">
        <w:rPr>
          <w:sz w:val="28"/>
          <w:szCs w:val="28"/>
        </w:rPr>
        <w:t xml:space="preserve"> adoptată cu votul a </w:t>
      </w:r>
      <w:r>
        <w:rPr>
          <w:sz w:val="28"/>
          <w:szCs w:val="28"/>
        </w:rPr>
        <w:t>unanim a</w:t>
      </w:r>
      <w:r w:rsidR="008C23A6">
        <w:rPr>
          <w:sz w:val="28"/>
          <w:szCs w:val="28"/>
        </w:rPr>
        <w:t xml:space="preserve"> 6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31DA2">
        <w:rPr>
          <w:b/>
          <w:sz w:val="28"/>
          <w:szCs w:val="28"/>
        </w:rPr>
        <w:t>6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proofErr w:type="spellStart"/>
      <w:r w:rsidRPr="00DC6C1E">
        <w:rPr>
          <w:sz w:val="28"/>
          <w:szCs w:val="28"/>
        </w:rPr>
        <w:t>D.Deleu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sz w:val="28"/>
          <w:szCs w:val="28"/>
        </w:rPr>
        <w:t>N.Spătaru</w:t>
      </w:r>
      <w:proofErr w:type="spellEnd"/>
      <w:r w:rsidR="00331DA2">
        <w:rPr>
          <w:sz w:val="28"/>
          <w:szCs w:val="28"/>
        </w:rPr>
        <w:t xml:space="preserve"> </w:t>
      </w:r>
      <w:proofErr w:type="spellStart"/>
      <w:r w:rsidRPr="00DC6C1E">
        <w:rPr>
          <w:rStyle w:val="1"/>
          <w:bCs/>
          <w:sz w:val="28"/>
          <w:szCs w:val="28"/>
        </w:rPr>
        <w:t>V.</w:t>
      </w:r>
      <w:r w:rsidRPr="00DC6C1E">
        <w:rPr>
          <w:rStyle w:val="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"/>
          <w:bCs/>
          <w:sz w:val="28"/>
          <w:szCs w:val="28"/>
        </w:rPr>
        <w:t>ape</w:t>
      </w:r>
      <w:r w:rsidRPr="00DC6C1E">
        <w:rPr>
          <w:rStyle w:val="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L.Vas</w:t>
      </w:r>
      <w:r>
        <w:rPr>
          <w:rStyle w:val="1"/>
          <w:bCs/>
          <w:sz w:val="28"/>
          <w:szCs w:val="28"/>
        </w:rPr>
        <w:t>ilache</w:t>
      </w:r>
      <w:proofErr w:type="spellEnd"/>
      <w:r>
        <w:rPr>
          <w:rStyle w:val="1"/>
          <w:bCs/>
          <w:sz w:val="28"/>
          <w:szCs w:val="28"/>
        </w:rPr>
        <w:t xml:space="preserve">; </w:t>
      </w:r>
      <w:proofErr w:type="spellStart"/>
      <w:r>
        <w:rPr>
          <w:rStyle w:val="1"/>
          <w:bCs/>
          <w:sz w:val="28"/>
          <w:szCs w:val="28"/>
        </w:rPr>
        <w:t>L.Călugăru</w:t>
      </w:r>
      <w:proofErr w:type="spellEnd"/>
      <w:r>
        <w:rPr>
          <w:rStyle w:val="1"/>
          <w:bCs/>
          <w:sz w:val="28"/>
          <w:szCs w:val="28"/>
        </w:rPr>
        <w:t>;</w:t>
      </w:r>
      <w:r w:rsidRPr="00DC6C1E">
        <w:rPr>
          <w:rStyle w:val="1"/>
          <w:bCs/>
          <w:sz w:val="28"/>
          <w:szCs w:val="28"/>
        </w:rPr>
        <w:t xml:space="preserve"> </w:t>
      </w:r>
      <w:proofErr w:type="spellStart"/>
      <w:r>
        <w:rPr>
          <w:rStyle w:val="1"/>
          <w:bCs/>
          <w:sz w:val="28"/>
          <w:szCs w:val="28"/>
        </w:rPr>
        <w:t>S.Nistor</w:t>
      </w:r>
      <w:proofErr w:type="spellEnd"/>
      <w:r w:rsidRPr="00DC6C1E">
        <w:rPr>
          <w:sz w:val="28"/>
          <w:szCs w:val="28"/>
        </w:rPr>
        <w:t xml:space="preserve">)  </w:t>
      </w:r>
      <w:r w:rsidR="001E2BA6">
        <w:rPr>
          <w:sz w:val="28"/>
          <w:szCs w:val="28"/>
        </w:rPr>
        <w:tab/>
      </w:r>
      <w:r w:rsidR="001E2BA6">
        <w:rPr>
          <w:sz w:val="28"/>
          <w:szCs w:val="28"/>
        </w:rPr>
        <w:tab/>
        <w:t xml:space="preserve">   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Pr="0095528D" w:rsidRDefault="006534F4" w:rsidP="008C23A6">
      <w:pPr>
        <w:pStyle w:val="Heading1"/>
        <w:keepNext w:val="0"/>
        <w:widowControl w:val="0"/>
        <w:suppressAutoHyphens/>
        <w:ind w:left="-567" w:firstLine="567"/>
        <w:jc w:val="both"/>
        <w:rPr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  <w:bookmarkStart w:id="0" w:name="_GoBack"/>
      <w:bookmarkEnd w:id="0"/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41" w:rsidRDefault="00C93741" w:rsidP="00D408D0">
      <w:r>
        <w:separator/>
      </w:r>
    </w:p>
  </w:endnote>
  <w:endnote w:type="continuationSeparator" w:id="0">
    <w:p w:rsidR="00C93741" w:rsidRDefault="00C9374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41" w:rsidRDefault="00C93741" w:rsidP="00D408D0">
      <w:r>
        <w:separator/>
      </w:r>
    </w:p>
  </w:footnote>
  <w:footnote w:type="continuationSeparator" w:id="0">
    <w:p w:rsidR="00C93741" w:rsidRDefault="00C9374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4F057F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4F057F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8C23A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0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1"/>
  </w:num>
  <w:num w:numId="2">
    <w:abstractNumId w:val="26"/>
  </w:num>
  <w:num w:numId="3">
    <w:abstractNumId w:val="11"/>
  </w:num>
  <w:num w:numId="4">
    <w:abstractNumId w:val="25"/>
  </w:num>
  <w:num w:numId="5">
    <w:abstractNumId w:val="13"/>
  </w:num>
  <w:num w:numId="6">
    <w:abstractNumId w:val="6"/>
  </w:num>
  <w:num w:numId="7">
    <w:abstractNumId w:val="23"/>
  </w:num>
  <w:num w:numId="8">
    <w:abstractNumId w:val="12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19"/>
  </w:num>
  <w:num w:numId="17">
    <w:abstractNumId w:val="27"/>
  </w:num>
  <w:num w:numId="18">
    <w:abstractNumId w:val="5"/>
  </w:num>
  <w:num w:numId="19">
    <w:abstractNumId w:val="32"/>
  </w:num>
  <w:num w:numId="20">
    <w:abstractNumId w:val="18"/>
  </w:num>
  <w:num w:numId="21">
    <w:abstractNumId w:val="29"/>
  </w:num>
  <w:num w:numId="22">
    <w:abstractNumId w:val="8"/>
  </w:num>
  <w:num w:numId="23">
    <w:abstractNumId w:val="9"/>
  </w:num>
  <w:num w:numId="24">
    <w:abstractNumId w:val="30"/>
  </w:num>
  <w:num w:numId="25">
    <w:abstractNumId w:val="31"/>
  </w:num>
  <w:num w:numId="26">
    <w:abstractNumId w:val="0"/>
  </w:num>
  <w:num w:numId="27">
    <w:abstractNumId w:val="17"/>
  </w:num>
  <w:num w:numId="28">
    <w:abstractNumId w:val="15"/>
  </w:num>
  <w:num w:numId="29">
    <w:abstractNumId w:val="4"/>
  </w:num>
  <w:num w:numId="30">
    <w:abstractNumId w:val="14"/>
  </w:num>
  <w:num w:numId="31">
    <w:abstractNumId w:val="20"/>
  </w:num>
  <w:num w:numId="32">
    <w:abstractNumId w:val="1"/>
  </w:num>
  <w:num w:numId="33">
    <w:abstractNumId w:val="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2030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5E83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2BA6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1DA2"/>
    <w:rsid w:val="00332C2F"/>
    <w:rsid w:val="003347CD"/>
    <w:rsid w:val="0034156B"/>
    <w:rsid w:val="003442C9"/>
    <w:rsid w:val="003453F8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3C13"/>
    <w:rsid w:val="00504B11"/>
    <w:rsid w:val="00507A78"/>
    <w:rsid w:val="00515AEE"/>
    <w:rsid w:val="00515C7C"/>
    <w:rsid w:val="005173DE"/>
    <w:rsid w:val="00523D3A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208C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7AE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23A6"/>
    <w:rsid w:val="008C47E4"/>
    <w:rsid w:val="008D5868"/>
    <w:rsid w:val="008D6923"/>
    <w:rsid w:val="008D7DC2"/>
    <w:rsid w:val="008E5F76"/>
    <w:rsid w:val="008F1572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AE6"/>
    <w:rsid w:val="00A96B07"/>
    <w:rsid w:val="00AB1DF4"/>
    <w:rsid w:val="00AC0D5E"/>
    <w:rsid w:val="00AC521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3741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 w:eastAsia="ru-RU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val="ru-RU" w:eastAsia="en-US"/>
    </w:rPr>
  </w:style>
  <w:style w:type="character" w:styleId="Strong">
    <w:name w:val="Strong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 w:eastAsia="ru-RU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Company>diakov.net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Utilizator</cp:lastModifiedBy>
  <cp:revision>15</cp:revision>
  <cp:lastPrinted>2016-08-05T15:45:00Z</cp:lastPrinted>
  <dcterms:created xsi:type="dcterms:W3CDTF">2016-08-29T17:49:00Z</dcterms:created>
  <dcterms:modified xsi:type="dcterms:W3CDTF">2016-09-02T13:56:00Z</dcterms:modified>
</cp:coreProperties>
</file>